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C6147B">
      <w:pPr>
        <w:jc w:val="center"/>
        <w:rPr>
          <w:rFonts w:hint="eastAsia" w:ascii="楷体_GB2312" w:hAnsi="楷体_GB2312" w:eastAsia="楷体_GB2312" w:cs="楷体_GB2312"/>
          <w:sz w:val="32"/>
        </w:rPr>
      </w:pPr>
      <w:r>
        <w:rPr>
          <w:rFonts w:hint="eastAsia" w:ascii="楷体_GB2312" w:hAnsi="楷体_GB2312" w:eastAsia="楷体_GB2312" w:cs="楷体_GB2312"/>
          <w:sz w:val="32"/>
        </w:rPr>
        <w:t>采购公告</w:t>
      </w:r>
    </w:p>
    <w:p w14:paraId="0F72F181">
      <w:pPr>
        <w:widowControl/>
        <w:snapToGrid w:val="0"/>
        <w:spacing w:line="360" w:lineRule="auto"/>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至：投标人</w:t>
      </w:r>
    </w:p>
    <w:p w14:paraId="6DCA1CC2">
      <w:pPr>
        <w:widowControl/>
        <w:snapToGrid w:val="0"/>
        <w:spacing w:line="360" w:lineRule="auto"/>
        <w:ind w:firstLine="525" w:firstLineChars="25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lang w:eastAsia="zh-CN"/>
        </w:rPr>
        <w:t>东莞市城市工程建设集团有限公司</w:t>
      </w:r>
      <w:r>
        <w:rPr>
          <w:rFonts w:hint="eastAsia" w:ascii="仿宋_GB2312" w:hAnsi="仿宋_GB2312" w:eastAsia="仿宋_GB2312" w:cs="仿宋_GB2312"/>
          <w:kern w:val="0"/>
          <w:szCs w:val="21"/>
        </w:rPr>
        <w:t>就</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东莞市沙田中学（暂定名）室内电气与给排水工程（1#、2#、4#、5#、6#、8#、9#、10#、地下室）</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进行</w:t>
      </w:r>
      <w:r>
        <w:rPr>
          <w:rFonts w:hint="eastAsia" w:ascii="仿宋_GB2312" w:hAnsi="仿宋_GB2312" w:eastAsia="仿宋_GB2312" w:cs="仿宋_GB2312"/>
          <w:kern w:val="0"/>
          <w:szCs w:val="21"/>
          <w:u w:val="single"/>
        </w:rPr>
        <w:t xml:space="preserve"> 公开采购 </w:t>
      </w:r>
      <w:r>
        <w:rPr>
          <w:rFonts w:hint="eastAsia" w:ascii="仿宋_GB2312" w:hAnsi="仿宋_GB2312" w:eastAsia="仿宋_GB2312" w:cs="仿宋_GB2312"/>
          <w:kern w:val="0"/>
          <w:szCs w:val="21"/>
        </w:rPr>
        <w:t>现将有关事项说明如下：</w:t>
      </w:r>
    </w:p>
    <w:p w14:paraId="071785F9">
      <w:pPr>
        <w:widowControl/>
        <w:numPr>
          <w:ilvl w:val="0"/>
          <w:numId w:val="1"/>
        </w:numPr>
        <w:snapToGrid w:val="0"/>
        <w:spacing w:line="360" w:lineRule="auto"/>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项目名称：</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东莞市沙田中学（暂定名）室内电气与给排水工程（1#、2#、4#、5#、6#、8#、9#、10#、地下室）</w:t>
      </w:r>
    </w:p>
    <w:p w14:paraId="1D329FCE">
      <w:pPr>
        <w:widowControl/>
        <w:numPr>
          <w:ilvl w:val="0"/>
          <w:numId w:val="1"/>
        </w:numPr>
        <w:snapToGrid w:val="0"/>
        <w:spacing w:line="360" w:lineRule="auto"/>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项目编号：</w:t>
      </w:r>
      <w:r>
        <w:rPr>
          <w:rFonts w:hint="eastAsia" w:ascii="仿宋_GB2312" w:hAnsi="仿宋_GB2312" w:eastAsia="仿宋_GB2312" w:cs="仿宋_GB2312"/>
          <w:kern w:val="0"/>
          <w:szCs w:val="21"/>
          <w:u w:val="single"/>
        </w:rPr>
        <w:t xml:space="preserve">  ZBCG-</w:t>
      </w:r>
      <w:r>
        <w:rPr>
          <w:rFonts w:hint="eastAsia" w:ascii="仿宋_GB2312" w:hAnsi="仿宋_GB2312" w:eastAsia="仿宋_GB2312" w:cs="仿宋_GB2312"/>
          <w:kern w:val="0"/>
          <w:szCs w:val="21"/>
          <w:u w:val="single"/>
          <w:lang w:eastAsia="zh-CN"/>
        </w:rPr>
        <w:t>2025</w:t>
      </w:r>
      <w:r>
        <w:rPr>
          <w:rFonts w:hint="eastAsia" w:ascii="仿宋_GB2312" w:hAnsi="仿宋_GB2312" w:eastAsia="仿宋_GB2312" w:cs="仿宋_GB2312"/>
          <w:kern w:val="0"/>
          <w:szCs w:val="21"/>
          <w:u w:val="single"/>
        </w:rPr>
        <w:t>-</w:t>
      </w:r>
      <w:r>
        <w:rPr>
          <w:rFonts w:hint="eastAsia" w:ascii="仿宋_GB2312" w:hAnsi="仿宋_GB2312" w:eastAsia="仿宋_GB2312" w:cs="仿宋_GB2312"/>
          <w:kern w:val="0"/>
          <w:szCs w:val="21"/>
          <w:u w:val="single"/>
          <w:lang w:val="en-US" w:eastAsia="zh-CN"/>
        </w:rPr>
        <w:t xml:space="preserve">255  </w:t>
      </w:r>
      <w:r>
        <w:rPr>
          <w:rFonts w:hint="eastAsia" w:ascii="仿宋_GB2312" w:hAnsi="仿宋_GB2312" w:eastAsia="仿宋_GB2312" w:cs="仿宋_GB2312"/>
          <w:kern w:val="0"/>
          <w:szCs w:val="21"/>
        </w:rPr>
        <w:t xml:space="preserve">  </w:t>
      </w:r>
    </w:p>
    <w:p w14:paraId="3D8E2529">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 xml:space="preserve">三、工程地点：  </w:t>
      </w:r>
      <w:r>
        <w:rPr>
          <w:rFonts w:hint="eastAsia" w:ascii="仿宋_GB2312" w:hAnsi="仿宋_GB2312" w:eastAsia="仿宋_GB2312" w:cs="仿宋_GB2312"/>
          <w:kern w:val="0"/>
          <w:szCs w:val="21"/>
          <w:u w:val="single"/>
          <w:lang w:val="en-US" w:eastAsia="zh-CN"/>
        </w:rPr>
        <w:t>东莞沙田</w:t>
      </w:r>
      <w:r>
        <w:rPr>
          <w:rFonts w:hint="eastAsia" w:ascii="仿宋_GB2312" w:hAnsi="仿宋_GB2312" w:eastAsia="仿宋_GB2312" w:cs="仿宋_GB2312"/>
          <w:kern w:val="0"/>
          <w:szCs w:val="21"/>
        </w:rPr>
        <w:t xml:space="preserve">                </w:t>
      </w:r>
    </w:p>
    <w:p w14:paraId="3F5A3AFD">
      <w:pPr>
        <w:widowControl/>
        <w:snapToGrid w:val="0"/>
        <w:spacing w:line="360" w:lineRule="auto"/>
        <w:ind w:firstLine="367" w:firstLineChars="175"/>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rPr>
        <w:t>四、采购限价：本项目采购控制价为</w:t>
      </w:r>
      <w:bookmarkStart w:id="0" w:name="OLE_LINK11"/>
      <w:r>
        <w:rPr>
          <w:rFonts w:hint="eastAsia" w:ascii="仿宋_GB2312" w:hAnsi="仿宋_GB2312" w:eastAsia="仿宋_GB2312" w:cs="仿宋_GB2312"/>
          <w:kern w:val="0"/>
          <w:szCs w:val="21"/>
        </w:rPr>
        <w:t xml:space="preserve"> </w:t>
      </w:r>
      <w:bookmarkStart w:id="1" w:name="OLE_LINK8"/>
      <w:bookmarkStart w:id="2" w:name="OLE_LINK23"/>
      <w:bookmarkStart w:id="3" w:name="OLE_LINK12"/>
      <w:r>
        <w:rPr>
          <w:rFonts w:hint="eastAsia" w:ascii="仿宋_GB2312" w:hAnsi="仿宋_GB2312" w:eastAsia="仿宋_GB2312" w:cs="仿宋_GB2312"/>
          <w:kern w:val="0"/>
          <w:szCs w:val="21"/>
          <w:lang w:val="en-US" w:eastAsia="zh-CN"/>
        </w:rPr>
        <w:t>24535013.86</w:t>
      </w:r>
      <w:bookmarkEnd w:id="0"/>
      <w:bookmarkEnd w:id="1"/>
      <w:bookmarkEnd w:id="2"/>
      <w:bookmarkEnd w:id="3"/>
      <w:r>
        <w:rPr>
          <w:rFonts w:hint="eastAsia" w:ascii="仿宋_GB2312" w:hAnsi="仿宋_GB2312" w:eastAsia="仿宋_GB2312" w:cs="仿宋_GB2312"/>
          <w:kern w:val="0"/>
          <w:szCs w:val="21"/>
        </w:rPr>
        <w:t xml:space="preserve">元（含税 </w:t>
      </w:r>
      <w:r>
        <w:rPr>
          <w:rFonts w:hint="eastAsia" w:ascii="仿宋_GB2312" w:hAnsi="仿宋_GB2312" w:eastAsia="仿宋_GB2312" w:cs="仿宋_GB2312"/>
          <w:kern w:val="0"/>
          <w:szCs w:val="21"/>
          <w:lang w:val="en-US" w:eastAsia="zh-CN"/>
        </w:rPr>
        <w:t>9</w:t>
      </w:r>
      <w:r>
        <w:rPr>
          <w:rFonts w:hint="eastAsia" w:ascii="仿宋_GB2312" w:hAnsi="仿宋_GB2312" w:eastAsia="仿宋_GB2312" w:cs="仿宋_GB2312"/>
          <w:kern w:val="0"/>
          <w:szCs w:val="21"/>
        </w:rPr>
        <w:t xml:space="preserve"> %）,</w:t>
      </w:r>
      <w:r>
        <w:rPr>
          <w:rFonts w:hint="eastAsia" w:ascii="仿宋_GB2312" w:hAnsi="仿宋_GB2312" w:eastAsia="仿宋_GB2312" w:cs="仿宋_GB2312"/>
          <w:kern w:val="0"/>
          <w:szCs w:val="21"/>
          <w:lang w:val="en-US" w:eastAsia="zh-CN"/>
        </w:rPr>
        <w:t>采购限价为</w:t>
      </w:r>
      <w:bookmarkStart w:id="4" w:name="OLE_LINK24"/>
      <w:bookmarkStart w:id="5" w:name="OLE_LINK13"/>
      <w:r>
        <w:rPr>
          <w:rFonts w:hint="eastAsia" w:ascii="仿宋_GB2312" w:hAnsi="仿宋_GB2312" w:eastAsia="仿宋_GB2312" w:cs="仿宋_GB2312"/>
          <w:kern w:val="0"/>
          <w:szCs w:val="21"/>
          <w:lang w:val="en-US" w:eastAsia="zh-CN"/>
        </w:rPr>
        <w:t xml:space="preserve"> 19873361.23</w:t>
      </w:r>
      <w:bookmarkEnd w:id="4"/>
      <w:bookmarkEnd w:id="5"/>
      <w:r>
        <w:rPr>
          <w:rFonts w:hint="eastAsia" w:ascii="仿宋_GB2312" w:hAnsi="仿宋_GB2312" w:eastAsia="仿宋_GB2312" w:cs="仿宋_GB2312"/>
          <w:kern w:val="0"/>
          <w:szCs w:val="21"/>
          <w:lang w:val="en-US" w:eastAsia="zh-CN"/>
        </w:rPr>
        <w:t xml:space="preserve">元， </w:t>
      </w:r>
      <w:r>
        <w:rPr>
          <w:rFonts w:hint="default" w:ascii="仿宋_GB2312" w:hAnsi="仿宋_GB2312" w:eastAsia="仿宋_GB2312" w:cs="仿宋_GB2312"/>
          <w:kern w:val="0"/>
          <w:szCs w:val="21"/>
          <w:lang w:val="en-US" w:eastAsia="zh-CN"/>
        </w:rPr>
        <w:t>其中不含税价为</w:t>
      </w:r>
      <w:r>
        <w:rPr>
          <w:rFonts w:hint="eastAsia" w:ascii="仿宋_GB2312" w:hAnsi="仿宋_GB2312" w:eastAsia="仿宋_GB2312" w:cs="仿宋_GB2312"/>
          <w:kern w:val="0"/>
          <w:szCs w:val="21"/>
          <w:lang w:val="en-US" w:eastAsia="zh-CN"/>
        </w:rPr>
        <w:t xml:space="preserve"> 18232441.50</w:t>
      </w:r>
      <w:r>
        <w:rPr>
          <w:rFonts w:hint="default" w:ascii="仿宋_GB2312" w:hAnsi="仿宋_GB2312" w:eastAsia="仿宋_GB2312" w:cs="仿宋_GB2312"/>
          <w:kern w:val="0"/>
          <w:szCs w:val="21"/>
          <w:lang w:val="en-US" w:eastAsia="zh-CN"/>
        </w:rPr>
        <w:t>元，</w:t>
      </w:r>
      <w:r>
        <w:rPr>
          <w:rFonts w:hint="eastAsia" w:ascii="仿宋_GB2312" w:hAnsi="仿宋_GB2312" w:eastAsia="仿宋_GB2312" w:cs="仿宋_GB2312"/>
          <w:kern w:val="0"/>
          <w:szCs w:val="21"/>
          <w:lang w:val="en-US" w:eastAsia="zh-CN"/>
        </w:rPr>
        <w:t>（大写）壹仟捌佰贰拾叁万贰仟肆佰肆拾壹元伍角整；</w:t>
      </w:r>
      <w:r>
        <w:rPr>
          <w:rFonts w:hint="default" w:ascii="仿宋_GB2312" w:hAnsi="仿宋_GB2312" w:eastAsia="仿宋_GB2312" w:cs="仿宋_GB2312"/>
          <w:kern w:val="0"/>
          <w:szCs w:val="21"/>
          <w:lang w:val="en-US" w:eastAsia="zh-CN"/>
        </w:rPr>
        <w:t>税金</w:t>
      </w:r>
      <w:r>
        <w:rPr>
          <w:rFonts w:hint="eastAsia" w:ascii="仿宋_GB2312" w:hAnsi="仿宋_GB2312" w:eastAsia="仿宋_GB2312" w:cs="仿宋_GB2312"/>
          <w:kern w:val="0"/>
          <w:szCs w:val="21"/>
          <w:lang w:val="en-US" w:eastAsia="zh-CN"/>
        </w:rPr>
        <w:t xml:space="preserve"> 1640919.73</w:t>
      </w:r>
      <w:r>
        <w:rPr>
          <w:rFonts w:hint="default" w:ascii="仿宋_GB2312" w:hAnsi="仿宋_GB2312" w:eastAsia="仿宋_GB2312" w:cs="仿宋_GB2312"/>
          <w:kern w:val="0"/>
          <w:szCs w:val="21"/>
          <w:lang w:val="en-US" w:eastAsia="zh-CN"/>
        </w:rPr>
        <w:t>元</w:t>
      </w:r>
      <w:r>
        <w:rPr>
          <w:rFonts w:hint="eastAsia" w:ascii="仿宋_GB2312" w:hAnsi="仿宋_GB2312" w:eastAsia="仿宋_GB2312" w:cs="仿宋_GB2312"/>
          <w:kern w:val="0"/>
          <w:szCs w:val="21"/>
          <w:lang w:val="en-US" w:eastAsia="zh-CN"/>
        </w:rPr>
        <w:t>，（大写）壹佰陆拾肆万零玖佰壹拾玖元柒角叁分（投标人报价不得高于采购限价）。</w:t>
      </w:r>
    </w:p>
    <w:p w14:paraId="21D42E8F">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五、工程概况：本项目总用地面积为 92727.86 平方米，总建筑面积 146572.85 平方米，拟建</w:t>
      </w:r>
      <w:r>
        <w:rPr>
          <w:rFonts w:hint="eastAsia" w:ascii="仿宋_GB2312" w:hAnsi="仿宋_GB2312" w:eastAsia="仿宋_GB2312" w:cs="仿宋_GB2312"/>
          <w:kern w:val="0"/>
          <w:szCs w:val="21"/>
          <w:lang w:val="en-US" w:eastAsia="zh-CN"/>
        </w:rPr>
        <w:t>设内容主要包括：1 号食堂宿舍楼、2 号宿舍楼、3 号体育馆、4 号图书馆、5 号高中教学楼、6 号初中教学楼、7 号报告厅、8~10 号门卫、11 号地下车库等单体以及辅助功能建筑等，同时建设室外绿化、道路、停车场、室外管线等室外配套工程。其中最大建筑物层数为 12 层，最大建筑高度约 49.50 米，结构最大单跨跨度约 42 米，最大单体建筑面积为 47387.09 平方米。</w:t>
      </w:r>
      <w:r>
        <w:rPr>
          <w:rFonts w:hint="eastAsia" w:ascii="仿宋_GB2312" w:hAnsi="仿宋_GB2312" w:eastAsia="仿宋_GB2312" w:cs="仿宋_GB2312"/>
          <w:kern w:val="0"/>
          <w:szCs w:val="21"/>
        </w:rPr>
        <w:t xml:space="preserve"> </w:t>
      </w:r>
    </w:p>
    <w:p w14:paraId="15C8F6DB">
      <w:pPr>
        <w:widowControl/>
        <w:snapToGrid w:val="0"/>
        <w:spacing w:line="360" w:lineRule="auto"/>
        <w:ind w:firstLine="367" w:firstLineChars="175"/>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 xml:space="preserve">   </w:t>
      </w:r>
      <w:bookmarkStart w:id="6" w:name="OLE_LINK21"/>
      <w:r>
        <w:rPr>
          <w:rFonts w:hint="eastAsia" w:ascii="仿宋_GB2312" w:hAnsi="仿宋_GB2312" w:eastAsia="仿宋_GB2312" w:cs="仿宋_GB2312"/>
          <w:kern w:val="0"/>
          <w:szCs w:val="21"/>
          <w:lang w:val="en-US" w:eastAsia="zh-CN"/>
        </w:rPr>
        <w:t>本工程室内电气与给排水工程（1#、2#、4#、5#、6#、8#、9#、10#、地下室）概况：</w:t>
      </w:r>
      <w:r>
        <w:rPr>
          <w:rFonts w:hint="eastAsia" w:ascii="仿宋_GB2312" w:hAnsi="仿宋_GB2312" w:eastAsia="仿宋_GB2312" w:cs="仿宋_GB2312"/>
          <w:b w:val="0"/>
          <w:bCs w:val="0"/>
          <w:i w:val="0"/>
          <w:iCs w:val="0"/>
          <w:caps w:val="0"/>
          <w:spacing w:val="0"/>
          <w:kern w:val="0"/>
          <w:sz w:val="21"/>
          <w:szCs w:val="21"/>
          <w:shd w:val="clear" w:color="auto" w:fill="auto"/>
        </w:rPr>
        <w:t>电气工程</w:t>
      </w:r>
      <w:r>
        <w:rPr>
          <w:rFonts w:hint="eastAsia" w:ascii="仿宋_GB2312" w:hAnsi="仿宋_GB2312" w:eastAsia="仿宋_GB2312" w:cs="仿宋_GB2312"/>
          <w:i w:val="0"/>
          <w:iCs w:val="0"/>
          <w:caps w:val="0"/>
          <w:spacing w:val="0"/>
          <w:kern w:val="0"/>
          <w:sz w:val="21"/>
          <w:szCs w:val="21"/>
          <w:shd w:val="clear" w:color="auto" w:fill="auto"/>
        </w:rPr>
        <w:t>涵盖配电系统（成套箱柜676台、线槽桥架约9,000米）、电缆敷设（约39,000米）、管线工程（电线管约172,000米、穿线约480,000米）、照明电器（灯具8,300套、开关插座13,700个）及防雷接地（避雷引下线约10,100米、等电位箱770个）；</w:t>
      </w:r>
      <w:r>
        <w:rPr>
          <w:rFonts w:hint="eastAsia" w:ascii="仿宋_GB2312" w:hAnsi="仿宋_GB2312" w:eastAsia="仿宋_GB2312" w:cs="仿宋_GB2312"/>
          <w:b w:val="0"/>
          <w:bCs w:val="0"/>
          <w:i w:val="0"/>
          <w:iCs w:val="0"/>
          <w:caps w:val="0"/>
          <w:spacing w:val="0"/>
          <w:kern w:val="0"/>
          <w:sz w:val="21"/>
          <w:szCs w:val="21"/>
          <w:shd w:val="clear" w:color="auto" w:fill="auto"/>
        </w:rPr>
        <w:t>给排水工程</w:t>
      </w:r>
      <w:r>
        <w:rPr>
          <w:rFonts w:hint="eastAsia" w:ascii="仿宋_GB2312" w:hAnsi="仿宋_GB2312" w:eastAsia="仿宋_GB2312" w:cs="仿宋_GB2312"/>
          <w:i w:val="0"/>
          <w:iCs w:val="0"/>
          <w:caps w:val="0"/>
          <w:spacing w:val="0"/>
          <w:kern w:val="0"/>
          <w:sz w:val="21"/>
          <w:szCs w:val="21"/>
          <w:shd w:val="clear" w:color="auto" w:fill="auto"/>
        </w:rPr>
        <w:t>包括给水系统、排水系统（UPVC管道约3.3万米、附件3,500个）以及雨水与冷凝水系统（管道合计约1.3万米）</w:t>
      </w:r>
      <w:r>
        <w:rPr>
          <w:rFonts w:hint="eastAsia" w:ascii="仿宋_GB2312" w:hAnsi="仿宋_GB2312" w:eastAsia="仿宋_GB2312" w:cs="仿宋_GB2312"/>
          <w:bCs w:val="0"/>
          <w:kern w:val="0"/>
          <w:szCs w:val="21"/>
          <w:lang w:val="en-US" w:eastAsia="zh-CN"/>
        </w:rPr>
        <w:t>等施工</w:t>
      </w:r>
      <w:r>
        <w:rPr>
          <w:rFonts w:hint="eastAsia" w:ascii="仿宋_GB2312" w:hAnsi="仿宋_GB2312" w:eastAsia="仿宋_GB2312" w:cs="仿宋_GB2312"/>
          <w:kern w:val="0"/>
          <w:szCs w:val="21"/>
          <w:lang w:val="en-US" w:eastAsia="zh-CN"/>
        </w:rPr>
        <w:t>具体以施工图纸及清单为准。</w:t>
      </w:r>
      <w:bookmarkEnd w:id="6"/>
    </w:p>
    <w:p w14:paraId="2D21CFDA">
      <w:pPr>
        <w:widowControl/>
        <w:numPr>
          <w:ilvl w:val="0"/>
          <w:numId w:val="2"/>
        </w:numPr>
        <w:snapToGrid w:val="0"/>
        <w:spacing w:line="360" w:lineRule="auto"/>
        <w:ind w:firstLine="367" w:firstLineChars="175"/>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分包工程主要范围：</w:t>
      </w:r>
      <w:r>
        <w:rPr>
          <w:rFonts w:hint="default" w:ascii="仿宋_GB2312" w:hAnsi="仿宋_GB2312" w:eastAsia="仿宋_GB2312" w:cs="仿宋_GB2312"/>
          <w:kern w:val="0"/>
          <w:szCs w:val="21"/>
          <w:lang w:val="en-US" w:eastAsia="zh-CN"/>
        </w:rPr>
        <w:t>主要工作内容包括：</w:t>
      </w:r>
    </w:p>
    <w:p w14:paraId="59FB7748">
      <w:pPr>
        <w:keepNext w:val="0"/>
        <w:keepLines w:val="0"/>
        <w:pageBreakBefore w:val="0"/>
        <w:widowControl/>
        <w:kinsoku/>
        <w:wordWrap/>
        <w:overflowPunct/>
        <w:topLinePunct w:val="0"/>
        <w:autoSpaceDE/>
        <w:autoSpaceDN/>
        <w:bidi w:val="0"/>
        <w:adjustRightInd/>
        <w:snapToGrid w:val="0"/>
        <w:spacing w:after="0" w:afterLines="0" w:line="360" w:lineRule="auto"/>
        <w:ind w:firstLine="367" w:firstLineChars="175"/>
        <w:textAlignment w:val="auto"/>
        <w:rPr>
          <w:rFonts w:hint="eastAsia" w:ascii="仿宋_GB2312" w:hAnsi="仿宋_GB2312" w:eastAsia="仿宋_GB2312" w:cs="仿宋_GB2312"/>
          <w:b w:val="0"/>
          <w:bCs w:val="0"/>
          <w:kern w:val="0"/>
          <w:szCs w:val="21"/>
          <w:lang w:val="en-US" w:eastAsia="zh-CN"/>
        </w:rPr>
      </w:pPr>
      <w:r>
        <w:rPr>
          <w:rFonts w:hint="eastAsia" w:ascii="仿宋_GB2312" w:hAnsi="仿宋_GB2312" w:eastAsia="仿宋_GB2312" w:cs="仿宋_GB2312"/>
          <w:b w:val="0"/>
          <w:bCs w:val="0"/>
          <w:kern w:val="0"/>
          <w:szCs w:val="21"/>
          <w:lang w:val="en-US" w:eastAsia="zh-CN"/>
        </w:rPr>
        <w:t>一、室内电气工程：</w:t>
      </w:r>
    </w:p>
    <w:p w14:paraId="6D5F4EE0">
      <w:pPr>
        <w:keepNext w:val="0"/>
        <w:keepLines w:val="0"/>
        <w:pageBreakBefore w:val="0"/>
        <w:widowControl/>
        <w:numPr>
          <w:ilvl w:val="0"/>
          <w:numId w:val="0"/>
        </w:numPr>
        <w:tabs>
          <w:tab w:val="left" w:pos="-142"/>
          <w:tab w:val="left" w:pos="0"/>
          <w:tab w:val="left" w:pos="720"/>
        </w:tabs>
        <w:kinsoku/>
        <w:wordWrap/>
        <w:overflowPunct/>
        <w:topLinePunct w:val="0"/>
        <w:autoSpaceDE/>
        <w:autoSpaceDN/>
        <w:bidi w:val="0"/>
        <w:adjustRightInd/>
        <w:snapToGrid w:val="0"/>
        <w:spacing w:after="0" w:afterLines="0" w:line="360" w:lineRule="auto"/>
        <w:ind w:firstLine="367" w:firstLineChars="175"/>
        <w:textAlignment w:val="auto"/>
        <w:rPr>
          <w:rFonts w:hint="eastAsia" w:ascii="仿宋_GB2312" w:hAnsi="仿宋_GB2312" w:eastAsia="仿宋_GB2312" w:cs="仿宋_GB2312"/>
          <w:b w:val="0"/>
          <w:bCs w:val="0"/>
          <w:kern w:val="0"/>
          <w:szCs w:val="21"/>
          <w:highlight w:val="none"/>
          <w:u w:val="single"/>
          <w:lang w:val="en-US" w:eastAsia="zh-CN"/>
        </w:rPr>
      </w:pPr>
      <w:r>
        <w:rPr>
          <w:rFonts w:hint="eastAsia" w:ascii="仿宋_GB2312" w:hAnsi="仿宋_GB2312" w:eastAsia="仿宋_GB2312" w:cs="仿宋_GB2312"/>
          <w:b w:val="0"/>
          <w:bCs w:val="0"/>
          <w:kern w:val="0"/>
          <w:szCs w:val="21"/>
          <w:highlight w:val="none"/>
          <w:u w:val="single"/>
          <w:lang w:val="en-US" w:eastAsia="zh-CN"/>
        </w:rPr>
        <w:t>1、1号食堂宿舍、2号女生宿舍、4号图书馆、5号高中教学楼、6号初中教学楼、8号门卫室、9号门卫室、10号门卫室、11号地下室施工图中所有电力、照明、防雷接地的所有施工内容，包含但不仅限于桥架、配管（含电气套管、线盒等）、电缆电线、配电箱、灯具及其他末端、开关、插座、防雷接地、等电位等。</w:t>
      </w:r>
    </w:p>
    <w:p w14:paraId="4041D113">
      <w:pPr>
        <w:keepNext w:val="0"/>
        <w:keepLines w:val="0"/>
        <w:pageBreakBefore w:val="0"/>
        <w:widowControl/>
        <w:numPr>
          <w:ilvl w:val="0"/>
          <w:numId w:val="0"/>
        </w:numPr>
        <w:tabs>
          <w:tab w:val="left" w:pos="-142"/>
          <w:tab w:val="left" w:pos="0"/>
          <w:tab w:val="left" w:pos="720"/>
        </w:tabs>
        <w:kinsoku/>
        <w:wordWrap/>
        <w:overflowPunct/>
        <w:topLinePunct w:val="0"/>
        <w:autoSpaceDE/>
        <w:autoSpaceDN/>
        <w:bidi w:val="0"/>
        <w:adjustRightInd/>
        <w:snapToGrid w:val="0"/>
        <w:spacing w:after="0" w:afterLines="0" w:line="360" w:lineRule="auto"/>
        <w:ind w:firstLine="367" w:firstLineChars="175"/>
        <w:textAlignment w:val="auto"/>
        <w:rPr>
          <w:rFonts w:hint="eastAsia" w:ascii="仿宋_GB2312" w:hAnsi="仿宋_GB2312" w:eastAsia="仿宋_GB2312" w:cs="仿宋_GB2312"/>
          <w:b w:val="0"/>
          <w:bCs w:val="0"/>
          <w:kern w:val="0"/>
          <w:szCs w:val="21"/>
          <w:highlight w:val="none"/>
          <w:u w:val="single"/>
          <w:lang w:val="en-US" w:eastAsia="zh-CN"/>
        </w:rPr>
      </w:pPr>
      <w:r>
        <w:rPr>
          <w:rFonts w:hint="eastAsia" w:ascii="仿宋_GB2312" w:hAnsi="仿宋_GB2312" w:eastAsia="仿宋_GB2312" w:cs="仿宋_GB2312"/>
          <w:b w:val="0"/>
          <w:bCs w:val="0"/>
          <w:kern w:val="0"/>
          <w:szCs w:val="21"/>
          <w:highlight w:val="none"/>
          <w:u w:val="single"/>
          <w:lang w:val="en-US" w:eastAsia="zh-CN"/>
        </w:rPr>
        <w:t>2、承包范围的套管预留预埋及封堵。</w:t>
      </w:r>
    </w:p>
    <w:p w14:paraId="13501F8F">
      <w:pPr>
        <w:keepNext w:val="0"/>
        <w:keepLines w:val="0"/>
        <w:pageBreakBefore w:val="0"/>
        <w:widowControl/>
        <w:numPr>
          <w:ilvl w:val="0"/>
          <w:numId w:val="0"/>
        </w:numPr>
        <w:tabs>
          <w:tab w:val="left" w:pos="-142"/>
          <w:tab w:val="left" w:pos="0"/>
          <w:tab w:val="left" w:pos="720"/>
        </w:tabs>
        <w:kinsoku/>
        <w:wordWrap/>
        <w:overflowPunct/>
        <w:topLinePunct w:val="0"/>
        <w:autoSpaceDE/>
        <w:autoSpaceDN/>
        <w:bidi w:val="0"/>
        <w:adjustRightInd/>
        <w:snapToGrid w:val="0"/>
        <w:spacing w:after="0" w:afterLines="0" w:line="360" w:lineRule="auto"/>
        <w:ind w:firstLine="367" w:firstLineChars="175"/>
        <w:textAlignment w:val="auto"/>
        <w:rPr>
          <w:rFonts w:hint="eastAsia" w:ascii="仿宋_GB2312" w:hAnsi="仿宋_GB2312" w:eastAsia="仿宋_GB2312" w:cs="仿宋_GB2312"/>
          <w:b w:val="0"/>
          <w:bCs w:val="0"/>
          <w:kern w:val="0"/>
          <w:szCs w:val="21"/>
          <w:highlight w:val="none"/>
          <w:u w:val="single"/>
          <w:lang w:val="en-US" w:eastAsia="zh-CN"/>
        </w:rPr>
      </w:pPr>
      <w:r>
        <w:rPr>
          <w:rFonts w:hint="eastAsia" w:ascii="仿宋_GB2312" w:hAnsi="仿宋_GB2312" w:eastAsia="仿宋_GB2312" w:cs="仿宋_GB2312"/>
          <w:b w:val="0"/>
          <w:bCs w:val="0"/>
          <w:kern w:val="0"/>
          <w:szCs w:val="21"/>
          <w:highlight w:val="none"/>
          <w:u w:val="single"/>
          <w:lang w:val="en-US" w:eastAsia="zh-CN"/>
        </w:rPr>
        <w:t>3、1号食堂宿舍、2号女生宿舍、4号图书馆、5号高中教学楼、6号初中教学楼、8号门卫室、9号门卫室、10号门卫室、11号地下室正式电梯做施工期间临时使用时，提供、安装及后续拆除电缆。配合主体结构阶段的电梯电气的预留预埋。</w:t>
      </w:r>
    </w:p>
    <w:p w14:paraId="7811F90E">
      <w:pPr>
        <w:keepNext w:val="0"/>
        <w:keepLines w:val="0"/>
        <w:pageBreakBefore w:val="0"/>
        <w:widowControl/>
        <w:kinsoku/>
        <w:wordWrap/>
        <w:overflowPunct/>
        <w:topLinePunct w:val="0"/>
        <w:autoSpaceDE/>
        <w:autoSpaceDN/>
        <w:bidi w:val="0"/>
        <w:adjustRightInd/>
        <w:snapToGrid w:val="0"/>
        <w:spacing w:after="0" w:afterLines="0" w:line="360" w:lineRule="auto"/>
        <w:ind w:firstLine="367" w:firstLineChars="175"/>
        <w:textAlignment w:val="auto"/>
        <w:rPr>
          <w:rFonts w:hint="eastAsia" w:ascii="仿宋_GB2312" w:hAnsi="仿宋_GB2312" w:eastAsia="仿宋_GB2312" w:cs="仿宋_GB2312"/>
          <w:b w:val="0"/>
          <w:bCs w:val="0"/>
          <w:kern w:val="0"/>
          <w:szCs w:val="21"/>
          <w:lang w:val="en-US" w:eastAsia="zh-CN"/>
        </w:rPr>
      </w:pPr>
      <w:r>
        <w:rPr>
          <w:rFonts w:hint="eastAsia" w:ascii="仿宋_GB2312" w:hAnsi="仿宋_GB2312" w:eastAsia="仿宋_GB2312" w:cs="仿宋_GB2312"/>
          <w:b w:val="0"/>
          <w:bCs w:val="0"/>
          <w:kern w:val="0"/>
          <w:szCs w:val="21"/>
          <w:lang w:val="en-US" w:eastAsia="zh-CN"/>
        </w:rPr>
        <w:t>二、室内给排水工程：</w:t>
      </w:r>
    </w:p>
    <w:p w14:paraId="0C75A70C">
      <w:pPr>
        <w:keepNext w:val="0"/>
        <w:keepLines w:val="0"/>
        <w:pageBreakBefore w:val="0"/>
        <w:widowControl/>
        <w:numPr>
          <w:ilvl w:val="0"/>
          <w:numId w:val="0"/>
        </w:numPr>
        <w:tabs>
          <w:tab w:val="left" w:pos="-142"/>
          <w:tab w:val="left" w:pos="0"/>
          <w:tab w:val="left" w:pos="720"/>
        </w:tabs>
        <w:kinsoku/>
        <w:wordWrap/>
        <w:overflowPunct/>
        <w:topLinePunct w:val="0"/>
        <w:autoSpaceDE/>
        <w:autoSpaceDN/>
        <w:bidi w:val="0"/>
        <w:adjustRightInd/>
        <w:snapToGrid w:val="0"/>
        <w:spacing w:after="0" w:afterLines="0" w:line="360" w:lineRule="auto"/>
        <w:ind w:firstLine="367" w:firstLineChars="175"/>
        <w:textAlignment w:val="auto"/>
        <w:rPr>
          <w:rFonts w:hint="eastAsia" w:ascii="仿宋_GB2312" w:hAnsi="仿宋_GB2312" w:eastAsia="仿宋_GB2312" w:cs="仿宋_GB2312"/>
          <w:b w:val="0"/>
          <w:bCs w:val="0"/>
          <w:kern w:val="0"/>
          <w:szCs w:val="21"/>
          <w:highlight w:val="none"/>
          <w:u w:val="single"/>
          <w:lang w:val="en-US" w:eastAsia="zh-CN"/>
        </w:rPr>
      </w:pPr>
      <w:r>
        <w:rPr>
          <w:rFonts w:hint="eastAsia" w:ascii="仿宋_GB2312" w:hAnsi="仿宋_GB2312" w:eastAsia="仿宋_GB2312" w:cs="仿宋_GB2312"/>
          <w:b w:val="0"/>
          <w:bCs w:val="0"/>
          <w:kern w:val="0"/>
          <w:szCs w:val="21"/>
          <w:highlight w:val="none"/>
          <w:u w:val="single"/>
          <w:lang w:val="en-US" w:eastAsia="zh-CN"/>
        </w:rPr>
        <w:t>1、1号食堂宿舍、2号女生宿舍、4号图书馆、5号高中教学楼、6号初中教学楼、8号门卫室、9号门卫室、10号门卫室、11号地下室施工图纸建筑内范围内所有给排水工程，包括但不限于生活给水系统、热水系统、雨水系统、污水系统、废水系统、冷凝水系统（不含多联机冷凝水）、压力排水系统等；</w:t>
      </w:r>
    </w:p>
    <w:p w14:paraId="5BFA12F8">
      <w:pPr>
        <w:keepNext w:val="0"/>
        <w:keepLines w:val="0"/>
        <w:pageBreakBefore w:val="0"/>
        <w:widowControl/>
        <w:numPr>
          <w:ilvl w:val="0"/>
          <w:numId w:val="0"/>
        </w:numPr>
        <w:tabs>
          <w:tab w:val="left" w:pos="-142"/>
          <w:tab w:val="left" w:pos="0"/>
          <w:tab w:val="left" w:pos="720"/>
        </w:tabs>
        <w:kinsoku/>
        <w:wordWrap/>
        <w:overflowPunct/>
        <w:topLinePunct w:val="0"/>
        <w:autoSpaceDE/>
        <w:autoSpaceDN/>
        <w:bidi w:val="0"/>
        <w:adjustRightInd/>
        <w:snapToGrid w:val="0"/>
        <w:spacing w:after="0" w:afterLines="0" w:line="360" w:lineRule="auto"/>
        <w:ind w:firstLine="367" w:firstLineChars="175"/>
        <w:textAlignment w:val="auto"/>
        <w:rPr>
          <w:rFonts w:hint="eastAsia" w:ascii="仿宋_GB2312" w:hAnsi="仿宋_GB2312" w:eastAsia="仿宋_GB2312" w:cs="仿宋_GB2312"/>
          <w:b w:val="0"/>
          <w:bCs w:val="0"/>
          <w:kern w:val="0"/>
          <w:szCs w:val="21"/>
          <w:highlight w:val="none"/>
          <w:u w:val="single"/>
          <w:lang w:val="en-US" w:eastAsia="zh-CN"/>
        </w:rPr>
      </w:pPr>
      <w:r>
        <w:rPr>
          <w:rFonts w:hint="eastAsia" w:ascii="仿宋_GB2312" w:hAnsi="仿宋_GB2312" w:eastAsia="仿宋_GB2312" w:cs="仿宋_GB2312"/>
          <w:b w:val="0"/>
          <w:bCs w:val="0"/>
          <w:kern w:val="0"/>
          <w:szCs w:val="21"/>
          <w:highlight w:val="none"/>
          <w:u w:val="single"/>
          <w:lang w:val="en-US" w:eastAsia="zh-CN"/>
        </w:rPr>
        <w:t>2、承包范围的套管预留预埋及封堵。</w:t>
      </w:r>
    </w:p>
    <w:p w14:paraId="5B313E3A">
      <w:pPr>
        <w:keepNext w:val="0"/>
        <w:keepLines w:val="0"/>
        <w:pageBreakBefore w:val="0"/>
        <w:widowControl/>
        <w:numPr>
          <w:ilvl w:val="0"/>
          <w:numId w:val="0"/>
        </w:numPr>
        <w:tabs>
          <w:tab w:val="left" w:pos="-142"/>
          <w:tab w:val="left" w:pos="0"/>
          <w:tab w:val="left" w:pos="720"/>
        </w:tabs>
        <w:kinsoku/>
        <w:wordWrap/>
        <w:overflowPunct/>
        <w:topLinePunct w:val="0"/>
        <w:autoSpaceDE/>
        <w:autoSpaceDN/>
        <w:bidi w:val="0"/>
        <w:adjustRightInd/>
        <w:snapToGrid w:val="0"/>
        <w:spacing w:after="0" w:afterLines="0" w:line="360" w:lineRule="auto"/>
        <w:ind w:firstLine="367" w:firstLineChars="175"/>
        <w:textAlignment w:val="auto"/>
        <w:rPr>
          <w:rFonts w:hint="eastAsia" w:ascii="仿宋_GB2312" w:hAnsi="仿宋_GB2312" w:eastAsia="仿宋_GB2312" w:cs="仿宋_GB2312"/>
          <w:b w:val="0"/>
          <w:bCs w:val="0"/>
          <w:kern w:val="0"/>
          <w:szCs w:val="21"/>
          <w:highlight w:val="none"/>
          <w:u w:val="single"/>
          <w:lang w:val="en-US" w:eastAsia="zh-CN"/>
        </w:rPr>
      </w:pPr>
      <w:r>
        <w:rPr>
          <w:rFonts w:hint="eastAsia" w:ascii="仿宋_GB2312" w:hAnsi="仿宋_GB2312" w:eastAsia="仿宋_GB2312" w:cs="仿宋_GB2312"/>
          <w:b w:val="0"/>
          <w:bCs w:val="0"/>
          <w:kern w:val="0"/>
          <w:szCs w:val="21"/>
          <w:highlight w:val="none"/>
          <w:u w:val="single"/>
          <w:lang w:val="en-US" w:eastAsia="zh-CN"/>
        </w:rPr>
        <w:t>3、1号食堂宿舍、2号女生宿舍、4号图书馆、5号高中教学楼、6号初中教学楼、8号门卫室、9号门卫室、10号门卫室、11号地下室空调套管的预留预埋。</w:t>
      </w:r>
    </w:p>
    <w:p w14:paraId="6B2803ED">
      <w:pPr>
        <w:widowControl/>
        <w:numPr>
          <w:ilvl w:val="0"/>
          <w:numId w:val="0"/>
        </w:numPr>
        <w:snapToGrid w:val="0"/>
        <w:spacing w:afterLines="0" w:line="360" w:lineRule="auto"/>
        <w:ind w:firstLine="367" w:firstLineChars="175"/>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b w:val="0"/>
          <w:bCs w:val="0"/>
          <w:kern w:val="0"/>
          <w:szCs w:val="21"/>
          <w:lang w:val="en-US" w:eastAsia="zh-CN"/>
        </w:rPr>
        <w:t>三、其它</w:t>
      </w:r>
    </w:p>
    <w:p w14:paraId="6CFFB4CF">
      <w:pPr>
        <w:widowControl/>
        <w:snapToGrid w:val="0"/>
        <w:spacing w:line="360" w:lineRule="auto"/>
        <w:ind w:firstLine="367" w:firstLineChars="175"/>
        <w:rPr>
          <w:rFonts w:hint="eastAsia" w:ascii="仿宋_GB2312" w:hAnsi="仿宋_GB2312" w:eastAsia="仿宋_GB2312" w:cs="仿宋_GB2312"/>
          <w:kern w:val="0"/>
          <w:szCs w:val="21"/>
          <w:u w:val="single"/>
          <w:lang w:val="en-US" w:eastAsia="zh-CN"/>
        </w:rPr>
      </w:pPr>
      <w:bookmarkStart w:id="7" w:name="OLE_LINK5"/>
      <w:r>
        <w:rPr>
          <w:rFonts w:hint="eastAsia" w:ascii="仿宋_GB2312" w:hAnsi="仿宋_GB2312" w:eastAsia="仿宋_GB2312" w:cs="仿宋_GB2312"/>
          <w:kern w:val="0"/>
          <w:szCs w:val="21"/>
          <w:u w:val="single"/>
          <w:lang w:val="en-US" w:eastAsia="zh-CN"/>
        </w:rPr>
        <w:t>1、以上采购范围未尽事宜，详见施工图纸及采购清单，并满足设计要求。</w:t>
      </w:r>
    </w:p>
    <w:bookmarkEnd w:id="7"/>
    <w:p w14:paraId="04F2743A">
      <w:pPr>
        <w:widowControl/>
        <w:numPr>
          <w:ilvl w:val="0"/>
          <w:numId w:val="0"/>
        </w:numPr>
        <w:tabs>
          <w:tab w:val="left" w:pos="-142"/>
          <w:tab w:val="left" w:pos="0"/>
          <w:tab w:val="left" w:pos="720"/>
        </w:tabs>
        <w:snapToGrid w:val="0"/>
        <w:spacing w:line="360" w:lineRule="auto"/>
        <w:ind w:leftChars="0" w:firstLine="367" w:firstLineChars="175"/>
        <w:rPr>
          <w:rFonts w:hint="eastAsia" w:ascii="仿宋_GB2312" w:hAnsi="仿宋_GB2312" w:eastAsia="仿宋_GB2312" w:cs="仿宋_GB2312"/>
          <w:color w:val="auto"/>
          <w:kern w:val="0"/>
          <w:sz w:val="21"/>
          <w:szCs w:val="21"/>
          <w:highlight w:val="none"/>
          <w:u w:val="single"/>
          <w:lang w:val="en-US" w:eastAsia="zh-CN"/>
        </w:rPr>
      </w:pPr>
      <w:r>
        <w:rPr>
          <w:rFonts w:hint="eastAsia" w:ascii="仿宋_GB2312" w:hAnsi="仿宋_GB2312" w:eastAsia="仿宋_GB2312" w:cs="仿宋_GB2312"/>
          <w:kern w:val="0"/>
          <w:sz w:val="21"/>
          <w:szCs w:val="21"/>
          <w:highlight w:val="none"/>
          <w:u w:val="single"/>
          <w:lang w:val="en-US" w:eastAsia="zh-CN"/>
        </w:rPr>
        <w:t>2、采购人已委托其它分包内容：</w:t>
      </w:r>
      <w:r>
        <w:rPr>
          <w:rFonts w:hint="eastAsia" w:ascii="仿宋_GB2312" w:hAnsi="仿宋_GB2312" w:eastAsia="仿宋_GB2312" w:cs="仿宋_GB2312"/>
          <w:color w:val="auto"/>
          <w:kern w:val="0"/>
          <w:sz w:val="21"/>
          <w:szCs w:val="21"/>
          <w:highlight w:val="none"/>
          <w:u w:val="single"/>
          <w:lang w:val="en-US" w:eastAsia="zh-CN"/>
        </w:rPr>
        <w:t>电气预埋因进度需要已安排其他单位施工，在</w:t>
      </w:r>
      <w:r>
        <w:rPr>
          <w:rFonts w:hint="eastAsia" w:ascii="仿宋_GB2312" w:hAnsi="仿宋_GB2312" w:eastAsia="仿宋_GB2312" w:cs="仿宋_GB2312"/>
          <w:kern w:val="0"/>
          <w:sz w:val="21"/>
          <w:szCs w:val="21"/>
          <w:highlight w:val="none"/>
          <w:u w:val="single"/>
          <w:lang w:val="en-US" w:eastAsia="zh-CN"/>
        </w:rPr>
        <w:t>中标人</w:t>
      </w:r>
      <w:r>
        <w:rPr>
          <w:rFonts w:hint="eastAsia" w:ascii="仿宋_GB2312" w:hAnsi="仿宋_GB2312" w:eastAsia="仿宋_GB2312" w:cs="仿宋_GB2312"/>
          <w:color w:val="auto"/>
          <w:kern w:val="0"/>
          <w:sz w:val="21"/>
          <w:szCs w:val="21"/>
          <w:highlight w:val="none"/>
          <w:u w:val="single"/>
          <w:lang w:val="en-US" w:eastAsia="zh-CN"/>
        </w:rPr>
        <w:t>进场后，前面的预埋单位的预埋工作自然终止，后续预埋由</w:t>
      </w:r>
      <w:r>
        <w:rPr>
          <w:rFonts w:hint="eastAsia" w:ascii="仿宋_GB2312" w:hAnsi="仿宋_GB2312" w:eastAsia="仿宋_GB2312" w:cs="仿宋_GB2312"/>
          <w:kern w:val="0"/>
          <w:sz w:val="21"/>
          <w:szCs w:val="21"/>
          <w:highlight w:val="none"/>
          <w:u w:val="single"/>
          <w:lang w:val="en-US" w:eastAsia="zh-CN"/>
        </w:rPr>
        <w:t>中标人</w:t>
      </w:r>
      <w:r>
        <w:rPr>
          <w:rFonts w:hint="eastAsia" w:ascii="仿宋_GB2312" w:hAnsi="仿宋_GB2312" w:eastAsia="仿宋_GB2312" w:cs="仿宋_GB2312"/>
          <w:color w:val="auto"/>
          <w:kern w:val="0"/>
          <w:sz w:val="21"/>
          <w:szCs w:val="21"/>
          <w:highlight w:val="none"/>
          <w:u w:val="single"/>
          <w:lang w:val="en-US" w:eastAsia="zh-CN"/>
        </w:rPr>
        <w:t>施工。</w:t>
      </w:r>
    </w:p>
    <w:p w14:paraId="72B91BD0">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七、承包方式：</w:t>
      </w:r>
    </w:p>
    <w:p w14:paraId="5F1B36DA">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lang w:val="en-US" w:eastAsia="zh-CN"/>
        </w:rPr>
        <w:t>1、本工程固定综合单价</w:t>
      </w:r>
      <w:r>
        <w:rPr>
          <w:rFonts w:hint="eastAsia" w:ascii="仿宋_GB2312" w:hAnsi="仿宋_GB2312" w:eastAsia="仿宋_GB2312" w:cs="仿宋_GB2312"/>
          <w:kern w:val="0"/>
          <w:sz w:val="21"/>
          <w:szCs w:val="21"/>
          <w:lang w:val="en-US" w:eastAsia="zh-CN"/>
        </w:rPr>
        <w:t>是采购文件所确定的采购范围内的全部工作内容的价格体现。包括且不限于所需的施工设备、劳务、管理、材料（甲供材除外）、损耗、场内外运输费、装卸费、现场安装、施工所需的脚手架及操作平台、其他辅材、成品保护、垃圾清理、水电费、利润、税金（增值税除外）及政策性文件规定的各项应有费用及采购文件明示或暗示的所有一切风险、责任和义务的费用。</w:t>
      </w:r>
    </w:p>
    <w:p w14:paraId="577DDEDE">
      <w:pPr>
        <w:widowControl/>
        <w:snapToGrid w:val="0"/>
        <w:spacing w:line="360" w:lineRule="auto"/>
        <w:ind w:firstLine="367" w:firstLineChars="175"/>
        <w:rPr>
          <w:rFonts w:hint="eastAsia" w:ascii="仿宋_GB2312" w:hAnsi="仿宋_GB2312" w:eastAsia="仿宋_GB2312" w:cs="仿宋_GB2312"/>
          <w:kern w:val="0"/>
          <w:szCs w:val="21"/>
          <w:u w:val="single"/>
        </w:rPr>
      </w:pPr>
      <w:r>
        <w:rPr>
          <w:rFonts w:hint="eastAsia" w:ascii="仿宋_GB2312" w:hAnsi="仿宋_GB2312" w:eastAsia="仿宋_GB2312" w:cs="仿宋_GB2312"/>
          <w:kern w:val="0"/>
          <w:szCs w:val="21"/>
        </w:rPr>
        <w:t>2、甲供材：</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配电箱、电缆、灯具、洁具、水泵、远传水表</w:t>
      </w:r>
      <w:r>
        <w:rPr>
          <w:rFonts w:hint="eastAsia" w:ascii="仿宋_GB2312" w:hAnsi="仿宋_GB2312" w:eastAsia="仿宋_GB2312" w:cs="仿宋_GB2312"/>
          <w:kern w:val="0"/>
          <w:szCs w:val="21"/>
          <w:u w:val="single"/>
          <w:lang w:eastAsia="zh-CN"/>
        </w:rPr>
        <w:t>。</w:t>
      </w:r>
      <w:r>
        <w:rPr>
          <w:rFonts w:hint="eastAsia" w:ascii="仿宋_GB2312" w:hAnsi="仿宋_GB2312" w:eastAsia="仿宋_GB2312" w:cs="仿宋_GB2312"/>
          <w:kern w:val="0"/>
          <w:szCs w:val="21"/>
          <w:u w:val="single"/>
        </w:rPr>
        <w:t xml:space="preserve"> </w:t>
      </w:r>
    </w:p>
    <w:p w14:paraId="6ED30F16">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八、工期：</w:t>
      </w:r>
      <w:bookmarkStart w:id="8" w:name="OLE_LINK19"/>
      <w:r>
        <w:rPr>
          <w:rFonts w:hint="eastAsia" w:ascii="仿宋_GB2312" w:hAnsi="仿宋_GB2312" w:eastAsia="仿宋_GB2312" w:cs="仿宋_GB2312"/>
          <w:kern w:val="0"/>
          <w:szCs w:val="21"/>
          <w:lang w:val="en-US" w:eastAsia="zh-CN"/>
        </w:rPr>
        <w:t>计划</w:t>
      </w:r>
      <w:r>
        <w:rPr>
          <w:rFonts w:hint="eastAsia" w:ascii="宋体" w:hAnsi="宋体" w:eastAsia="宋体" w:cs="宋体"/>
          <w:b w:val="0"/>
          <w:bCs w:val="0"/>
          <w:lang w:val="en-US" w:eastAsia="zh-CN"/>
        </w:rPr>
        <w:t>从2025年12月25日开始施工，至2026年06月10日</w:t>
      </w:r>
      <w:r>
        <w:rPr>
          <w:rFonts w:hint="eastAsia" w:ascii="仿宋_GB2312" w:hAnsi="仿宋_GB2312" w:eastAsia="仿宋_GB2312" w:cs="仿宋_GB2312"/>
          <w:b w:val="0"/>
          <w:bCs w:val="0"/>
          <w:kern w:val="0"/>
          <w:szCs w:val="21"/>
          <w:lang w:val="en-US" w:eastAsia="zh-CN"/>
        </w:rPr>
        <w:t>竣工完成，工期167日历天，</w:t>
      </w:r>
      <w:r>
        <w:rPr>
          <w:rFonts w:hint="eastAsia" w:ascii="仿宋_GB2312" w:hAnsi="仿宋_GB2312" w:eastAsia="仿宋_GB2312" w:cs="仿宋_GB2312"/>
          <w:kern w:val="0"/>
          <w:szCs w:val="21"/>
          <w:u w:val="none"/>
          <w:lang w:val="en-US" w:eastAsia="zh-CN"/>
        </w:rPr>
        <w:t>中标后3天内进场与项目部联合编制进度计划及关键节点，并以双方签字确认的进度计划作为施工工期要求</w:t>
      </w:r>
      <w:bookmarkEnd w:id="8"/>
    </w:p>
    <w:p w14:paraId="37DDD1DA">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九、投标文件的递交时间及开标地点：以密封形式于</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2025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年</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12</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月</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12</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日</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16</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时</w:t>
      </w:r>
      <w:r>
        <w:rPr>
          <w:rFonts w:hint="eastAsia" w:ascii="仿宋_GB2312" w:hAnsi="仿宋_GB2312" w:eastAsia="仿宋_GB2312" w:cs="仿宋_GB2312"/>
          <w:kern w:val="0"/>
          <w:szCs w:val="21"/>
          <w:lang w:val="en-US" w:eastAsia="zh-CN"/>
        </w:rPr>
        <w:t>00</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分前递交，截止时间为</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2025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年</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12</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月</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12</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日</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16</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时</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00</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分，所有应答文件必须在规定的应答截止时间前按规定地址送达采购人，逾期恕不接受。</w:t>
      </w:r>
    </w:p>
    <w:p w14:paraId="6E8989A9">
      <w:pPr>
        <w:widowControl/>
        <w:snapToGrid w:val="0"/>
        <w:spacing w:line="360" w:lineRule="auto"/>
        <w:ind w:firstLine="630" w:firstLineChars="30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开标地址：东莞市南城街道城市风景街8栋</w:t>
      </w:r>
      <w:r>
        <w:rPr>
          <w:rFonts w:hint="eastAsia" w:ascii="仿宋_GB2312" w:hAnsi="仿宋_GB2312" w:eastAsia="仿宋_GB2312" w:cs="仿宋_GB2312"/>
          <w:kern w:val="0"/>
          <w:szCs w:val="21"/>
          <w:lang w:val="en-US" w:eastAsia="zh-CN"/>
        </w:rPr>
        <w:t>3</w:t>
      </w:r>
      <w:r>
        <w:rPr>
          <w:rFonts w:hint="eastAsia" w:ascii="仿宋_GB2312" w:hAnsi="仿宋_GB2312" w:eastAsia="仿宋_GB2312" w:cs="仿宋_GB2312"/>
          <w:kern w:val="0"/>
          <w:szCs w:val="21"/>
        </w:rPr>
        <w:t>层</w:t>
      </w:r>
      <w:r>
        <w:rPr>
          <w:rFonts w:hint="eastAsia" w:ascii="仿宋_GB2312" w:hAnsi="仿宋_GB2312" w:eastAsia="仿宋_GB2312" w:cs="仿宋_GB2312"/>
          <w:kern w:val="0"/>
          <w:szCs w:val="21"/>
          <w:lang w:val="en-US" w:eastAsia="zh-CN"/>
        </w:rPr>
        <w:t>城工集团</w:t>
      </w:r>
      <w:r>
        <w:rPr>
          <w:rFonts w:hint="eastAsia" w:ascii="仿宋_GB2312" w:hAnsi="仿宋_GB2312" w:eastAsia="仿宋_GB2312" w:cs="仿宋_GB2312"/>
          <w:kern w:val="0"/>
          <w:szCs w:val="21"/>
        </w:rPr>
        <w:t>开标室。</w:t>
      </w:r>
    </w:p>
    <w:p w14:paraId="588C0B86">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十、注意事项：</w:t>
      </w:r>
    </w:p>
    <w:p w14:paraId="13BB5D92">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1、投标人必须全面响应采购文件要求，投标人任何附加条件采购人一律不接受或视为废标。</w:t>
      </w:r>
    </w:p>
    <w:p w14:paraId="431D4D13">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2、中标人严禁有挂靠或者违法转包行为。</w:t>
      </w:r>
    </w:p>
    <w:p w14:paraId="39A7A23E">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3、投标文件严禁出现不平衡报价。</w:t>
      </w:r>
    </w:p>
    <w:p w14:paraId="62B1FCD0">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4、质量要求：现行的施工规范要求。</w:t>
      </w:r>
    </w:p>
    <w:p w14:paraId="1A82FF56">
      <w:pPr>
        <w:widowControl/>
        <w:snapToGrid w:val="0"/>
        <w:spacing w:line="360" w:lineRule="auto"/>
        <w:ind w:firstLine="367" w:firstLineChars="175"/>
        <w:rPr>
          <w:rFonts w:hint="eastAsia" w:ascii="仿宋_GB2312" w:hAnsi="仿宋_GB2312" w:eastAsia="仿宋_GB2312" w:cs="仿宋_GB2312"/>
          <w:color w:val="FF0000"/>
          <w:kern w:val="0"/>
          <w:szCs w:val="21"/>
          <w:lang w:val="en-US" w:eastAsia="zh-CN"/>
        </w:rPr>
      </w:pPr>
      <w:r>
        <w:rPr>
          <w:rFonts w:hint="eastAsia" w:ascii="仿宋_GB2312" w:hAnsi="仿宋_GB2312" w:eastAsia="仿宋_GB2312" w:cs="仿宋_GB2312"/>
          <w:color w:val="FF0000"/>
          <w:kern w:val="0"/>
          <w:szCs w:val="21"/>
          <w:lang w:val="en-US" w:eastAsia="zh-CN"/>
        </w:rPr>
        <w:t>5、本工程要求开具工人工资支付保函：（计划工期15天内完工的零星项目无需开具工人工资支付保函）。</w:t>
      </w:r>
    </w:p>
    <w:p w14:paraId="30026A29">
      <w:pPr>
        <w:widowControl/>
        <w:snapToGrid w:val="0"/>
        <w:spacing w:line="360" w:lineRule="auto"/>
        <w:ind w:firstLine="367" w:firstLineChars="175"/>
        <w:rPr>
          <w:rFonts w:hint="eastAsia" w:ascii="仿宋_GB2312" w:hAnsi="仿宋_GB2312" w:eastAsia="仿宋_GB2312" w:cs="仿宋_GB2312"/>
          <w:color w:val="FF0000"/>
          <w:kern w:val="0"/>
          <w:szCs w:val="21"/>
          <w:lang w:val="en-US" w:eastAsia="zh-CN"/>
        </w:rPr>
      </w:pPr>
      <w:r>
        <w:rPr>
          <w:rFonts w:hint="eastAsia" w:ascii="仿宋_GB2312" w:hAnsi="仿宋_GB2312" w:eastAsia="仿宋_GB2312" w:cs="仿宋_GB2312"/>
          <w:color w:val="FF0000"/>
          <w:kern w:val="0"/>
          <w:szCs w:val="21"/>
          <w:lang w:val="en-US" w:eastAsia="zh-CN"/>
        </w:rPr>
        <w:t>专业分包单位需要提供合同总额3%的工人工资支付保函。</w:t>
      </w:r>
    </w:p>
    <w:p w14:paraId="40BCB7E3">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十一、采购文件获取：</w:t>
      </w:r>
      <w:r>
        <w:rPr>
          <w:rFonts w:hint="eastAsia" w:ascii="仿宋_GB2312" w:hAnsi="仿宋_GB2312" w:eastAsia="仿宋_GB2312" w:cs="仿宋_GB2312"/>
          <w:kern w:val="0"/>
          <w:szCs w:val="21"/>
          <w:lang w:val="en-US" w:eastAsia="zh-CN"/>
        </w:rPr>
        <w:t>城工集团</w:t>
      </w:r>
      <w:r>
        <w:rPr>
          <w:rFonts w:hint="eastAsia" w:ascii="仿宋_GB2312" w:hAnsi="仿宋_GB2312" w:eastAsia="仿宋_GB2312" w:cs="仿宋_GB2312"/>
          <w:szCs w:val="21"/>
        </w:rPr>
        <w:t>公司官网（http:</w:t>
      </w:r>
      <w:r>
        <w:rPr>
          <w:rFonts w:hint="eastAsia" w:ascii="仿宋_GB2312" w:hAnsi="仿宋_GB2312" w:eastAsia="仿宋_GB2312" w:cs="仿宋_GB2312"/>
          <w:szCs w:val="21"/>
          <w:lang w:val="en-US" w:eastAsia="zh-CN"/>
        </w:rPr>
        <w:t>/</w:t>
      </w:r>
      <w:r>
        <w:rPr>
          <w:rFonts w:hint="eastAsia" w:ascii="仿宋_GB2312" w:hAnsi="仿宋_GB2312" w:eastAsia="仿宋_GB2312" w:cs="仿宋_GB2312"/>
          <w:szCs w:val="21"/>
        </w:rPr>
        <w:t>/www.dggcc.cn）</w:t>
      </w:r>
      <w:r>
        <w:rPr>
          <w:rFonts w:hint="eastAsia" w:ascii="仿宋_GB2312" w:hAnsi="仿宋_GB2312" w:eastAsia="仿宋_GB2312" w:cs="仿宋_GB2312"/>
          <w:kern w:val="0"/>
          <w:szCs w:val="21"/>
        </w:rPr>
        <w:t>。</w:t>
      </w:r>
    </w:p>
    <w:p w14:paraId="2888134F">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十二、其他及特别内容说明：</w:t>
      </w:r>
    </w:p>
    <w:p w14:paraId="2270881B">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lang w:val="en-US" w:eastAsia="zh-CN"/>
        </w:rPr>
        <w:t>1、</w:t>
      </w:r>
      <w:r>
        <w:rPr>
          <w:rFonts w:hint="eastAsia" w:ascii="仿宋_GB2312" w:hAnsi="仿宋_GB2312" w:eastAsia="仿宋_GB2312" w:cs="仿宋_GB2312"/>
          <w:kern w:val="0"/>
          <w:szCs w:val="21"/>
        </w:rPr>
        <w:t>参考品牌（同等或优于）：</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具体详见附件品牌明细表</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；进场需经采购人审核同意方可使用。</w:t>
      </w:r>
    </w:p>
    <w:p w14:paraId="3AE6BEBF">
      <w:pPr>
        <w:widowControl/>
        <w:snapToGrid w:val="0"/>
        <w:spacing w:line="360" w:lineRule="auto"/>
        <w:ind w:firstLine="367" w:firstLineChars="175"/>
        <w:rPr>
          <w:rFonts w:hint="eastAsia" w:ascii="仿宋_GB2312" w:hAnsi="仿宋_GB2312" w:eastAsia="仿宋_GB2312" w:cs="仿宋_GB2312"/>
          <w:color w:val="FF0000"/>
          <w:kern w:val="0"/>
          <w:szCs w:val="21"/>
          <w:lang w:val="en-US" w:eastAsia="zh-CN"/>
        </w:rPr>
      </w:pPr>
      <w:r>
        <w:rPr>
          <w:rFonts w:hint="eastAsia" w:ascii="仿宋_GB2312" w:hAnsi="仿宋_GB2312" w:eastAsia="仿宋_GB2312" w:cs="仿宋_GB2312"/>
          <w:color w:val="FF0000"/>
          <w:kern w:val="0"/>
          <w:szCs w:val="21"/>
          <w:lang w:val="en-US" w:eastAsia="zh-CN"/>
        </w:rPr>
        <w:t>2、</w:t>
      </w:r>
      <w:r>
        <w:rPr>
          <w:rFonts w:hint="eastAsia" w:ascii="仿宋_GB2312" w:hAnsi="仿宋_GB2312" w:eastAsia="仿宋_GB2312" w:cs="仿宋_GB2312"/>
          <w:bCs/>
          <w:color w:val="auto"/>
          <w:szCs w:val="21"/>
          <w:highlight w:val="none"/>
        </w:rPr>
        <w:t>工程质量标准为</w:t>
      </w:r>
      <w:r>
        <w:rPr>
          <w:rFonts w:hint="eastAsia" w:ascii="仿宋_GB2312" w:hAnsi="仿宋_GB2312" w:eastAsia="仿宋_GB2312" w:cs="仿宋_GB2312"/>
          <w:bCs w:val="0"/>
          <w:color w:val="FF0000"/>
          <w:kern w:val="0"/>
          <w:szCs w:val="21"/>
          <w:highlight w:val="none"/>
        </w:rPr>
        <w:t>：</w:t>
      </w:r>
      <w:r>
        <w:rPr>
          <w:rFonts w:hint="eastAsia" w:ascii="仿宋_GB2312" w:hAnsi="仿宋_GB2312" w:eastAsia="仿宋_GB2312" w:cs="仿宋_GB2312"/>
          <w:b w:val="0"/>
          <w:bCs w:val="0"/>
          <w:color w:val="FF0000"/>
          <w:kern w:val="0"/>
          <w:sz w:val="21"/>
          <w:szCs w:val="21"/>
          <w:u w:val="none"/>
          <w:lang w:val="en-US" w:eastAsia="zh-CN"/>
        </w:rPr>
        <w:t>达到国家或行业质量检验评定的合格标准，获评广东省建设工程优质奖， 争创国家优质工程奖及鲁班奖</w:t>
      </w:r>
      <w:r>
        <w:rPr>
          <w:rFonts w:hint="eastAsia" w:ascii="仿宋_GB2312" w:hAnsi="仿宋_GB2312" w:eastAsia="仿宋_GB2312" w:cs="仿宋_GB2312"/>
          <w:color w:val="FF0000"/>
          <w:kern w:val="0"/>
          <w:sz w:val="21"/>
          <w:szCs w:val="21"/>
          <w:lang w:val="en-US" w:eastAsia="zh-CN"/>
        </w:rPr>
        <w:t>。</w:t>
      </w:r>
    </w:p>
    <w:p w14:paraId="465D7E3F">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 xml:space="preserve">十三、有关此次采购答疑事宜，按下列地址以书面或电话形式向采购人查询：  </w:t>
      </w:r>
    </w:p>
    <w:p w14:paraId="46B38134">
      <w:pPr>
        <w:widowControl/>
        <w:snapToGrid w:val="0"/>
        <w:spacing w:line="360" w:lineRule="auto"/>
        <w:ind w:firstLine="840" w:firstLineChars="400"/>
        <w:rPr>
          <w:rFonts w:hint="eastAsia" w:ascii="仿宋_GB2312" w:hAnsi="仿宋_GB2312" w:eastAsia="仿宋_GB2312" w:cs="仿宋_GB2312"/>
          <w:kern w:val="0"/>
          <w:szCs w:val="21"/>
          <w:lang w:eastAsia="zh-CN"/>
        </w:rPr>
      </w:pPr>
      <w:r>
        <w:rPr>
          <w:rFonts w:hint="eastAsia" w:ascii="仿宋_GB2312" w:hAnsi="仿宋_GB2312" w:eastAsia="仿宋_GB2312" w:cs="仿宋_GB2312"/>
          <w:kern w:val="0"/>
          <w:szCs w:val="21"/>
        </w:rPr>
        <w:t>采购人：</w:t>
      </w:r>
      <w:r>
        <w:rPr>
          <w:rFonts w:hint="eastAsia" w:ascii="仿宋_GB2312" w:hAnsi="仿宋_GB2312" w:eastAsia="仿宋_GB2312" w:cs="仿宋_GB2312"/>
          <w:kern w:val="0"/>
          <w:szCs w:val="21"/>
          <w:lang w:eastAsia="zh-CN"/>
        </w:rPr>
        <w:t>东莞市城市工程建设集团有限公司</w:t>
      </w:r>
    </w:p>
    <w:p w14:paraId="23A6A623">
      <w:pPr>
        <w:widowControl/>
        <w:snapToGrid w:val="0"/>
        <w:spacing w:line="360" w:lineRule="auto"/>
        <w:ind w:firstLine="840" w:firstLineChars="40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地址：东莞市南城区城市风景街8栋</w:t>
      </w:r>
      <w:r>
        <w:rPr>
          <w:rFonts w:hint="eastAsia" w:ascii="仿宋_GB2312" w:hAnsi="仿宋_GB2312" w:eastAsia="仿宋_GB2312" w:cs="仿宋_GB2312"/>
          <w:kern w:val="0"/>
          <w:szCs w:val="21"/>
          <w:lang w:val="en-US" w:eastAsia="zh-CN"/>
        </w:rPr>
        <w:t>4</w:t>
      </w:r>
      <w:r>
        <w:rPr>
          <w:rFonts w:hint="eastAsia" w:ascii="仿宋_GB2312" w:hAnsi="仿宋_GB2312" w:eastAsia="仿宋_GB2312" w:cs="仿宋_GB2312"/>
          <w:kern w:val="0"/>
          <w:szCs w:val="21"/>
        </w:rPr>
        <w:t>层</w:t>
      </w:r>
      <w:r>
        <w:rPr>
          <w:rFonts w:hint="eastAsia" w:ascii="仿宋_GB2312" w:hAnsi="仿宋_GB2312" w:eastAsia="仿宋_GB2312" w:cs="仿宋_GB2312"/>
          <w:kern w:val="0"/>
          <w:szCs w:val="21"/>
          <w:lang w:eastAsia="zh-CN"/>
        </w:rPr>
        <w:t>城工集团</w:t>
      </w:r>
      <w:r>
        <w:rPr>
          <w:rFonts w:hint="eastAsia" w:ascii="仿宋_GB2312" w:hAnsi="仿宋_GB2312" w:eastAsia="仿宋_GB2312" w:cs="仿宋_GB2312"/>
          <w:kern w:val="0"/>
          <w:szCs w:val="21"/>
        </w:rPr>
        <w:t>。</w:t>
      </w:r>
    </w:p>
    <w:p w14:paraId="6DC9FFFE">
      <w:pPr>
        <w:widowControl/>
        <w:snapToGrid w:val="0"/>
        <w:spacing w:line="360" w:lineRule="auto"/>
        <w:ind w:firstLine="840" w:firstLineChars="40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联系人：</w:t>
      </w:r>
      <w:r>
        <w:rPr>
          <w:rFonts w:hint="eastAsia" w:ascii="仿宋_GB2312" w:hAnsi="仿宋_GB2312" w:eastAsia="仿宋_GB2312" w:cs="仿宋_GB2312"/>
          <w:kern w:val="0"/>
          <w:szCs w:val="21"/>
          <w:lang w:val="en-US" w:eastAsia="zh-CN"/>
        </w:rPr>
        <w:t>黄</w:t>
      </w:r>
      <w:r>
        <w:rPr>
          <w:rFonts w:hint="eastAsia" w:ascii="仿宋_GB2312" w:hAnsi="仿宋_GB2312" w:eastAsia="仿宋_GB2312" w:cs="仿宋_GB2312"/>
          <w:kern w:val="0"/>
          <w:szCs w:val="21"/>
        </w:rPr>
        <w:t>工                   邮政编码：523000</w:t>
      </w:r>
    </w:p>
    <w:p w14:paraId="52BE5CFB">
      <w:pPr>
        <w:widowControl/>
        <w:snapToGrid w:val="0"/>
        <w:spacing w:line="360" w:lineRule="auto"/>
        <w:ind w:firstLine="840" w:firstLineChars="400"/>
        <w:jc w:val="left"/>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联系方式：</w:t>
      </w:r>
      <w:r>
        <w:rPr>
          <w:rFonts w:hint="eastAsia" w:ascii="仿宋_GB2312" w:hAnsi="仿宋_GB2312" w:eastAsia="仿宋_GB2312" w:cs="仿宋_GB2312"/>
          <w:kern w:val="0"/>
          <w:szCs w:val="21"/>
          <w:lang w:val="en-US" w:eastAsia="zh-CN"/>
        </w:rPr>
        <w:t>15017133726</w:t>
      </w:r>
      <w:r>
        <w:rPr>
          <w:rFonts w:hint="eastAsia" w:ascii="仿宋_GB2312" w:hAnsi="仿宋_GB2312" w:eastAsia="仿宋_GB2312" w:cs="仿宋_GB2312"/>
          <w:kern w:val="0"/>
          <w:szCs w:val="21"/>
        </w:rPr>
        <w:t xml:space="preserve">                   传真：0769-39009090</w:t>
      </w:r>
    </w:p>
    <w:p w14:paraId="2D6ADAE0">
      <w:pPr>
        <w:widowControl/>
        <w:snapToGrid w:val="0"/>
        <w:spacing w:line="480" w:lineRule="auto"/>
        <w:ind w:firstLine="640"/>
        <w:jc w:val="right"/>
        <w:rPr>
          <w:rFonts w:hint="eastAsia" w:ascii="仿宋_GB2312" w:hAnsi="仿宋_GB2312" w:eastAsia="仿宋_GB2312" w:cs="仿宋_GB2312"/>
          <w:kern w:val="0"/>
          <w:szCs w:val="21"/>
          <w:lang w:eastAsia="zh-CN"/>
        </w:rPr>
      </w:pPr>
      <w:bookmarkStart w:id="9" w:name="_GoBack"/>
      <w:bookmarkEnd w:id="9"/>
    </w:p>
    <w:p w14:paraId="130B3E3B">
      <w:pPr>
        <w:widowControl/>
        <w:snapToGrid w:val="0"/>
        <w:spacing w:line="480" w:lineRule="auto"/>
        <w:ind w:firstLine="640"/>
        <w:jc w:val="right"/>
        <w:rPr>
          <w:rFonts w:hint="eastAsia" w:ascii="仿宋_GB2312" w:hAnsi="仿宋_GB2312" w:eastAsia="仿宋_GB2312" w:cs="仿宋_GB2312"/>
          <w:kern w:val="0"/>
          <w:szCs w:val="21"/>
          <w:lang w:eastAsia="zh-CN"/>
        </w:rPr>
      </w:pPr>
      <w:r>
        <w:rPr>
          <w:rFonts w:hint="eastAsia" w:ascii="仿宋_GB2312" w:hAnsi="仿宋_GB2312" w:eastAsia="仿宋_GB2312" w:cs="仿宋_GB2312"/>
          <w:kern w:val="0"/>
          <w:szCs w:val="21"/>
          <w:lang w:eastAsia="zh-CN"/>
        </w:rPr>
        <w:t>东莞市城市工程建设集团有限公司</w:t>
      </w:r>
    </w:p>
    <w:p w14:paraId="7E5FE990">
      <w:pPr>
        <w:jc w:val="right"/>
      </w:pPr>
      <w:r>
        <w:rPr>
          <w:rFonts w:hint="eastAsia" w:ascii="仿宋_GB2312" w:hAnsi="仿宋_GB2312" w:eastAsia="仿宋_GB2312" w:cs="仿宋_GB2312"/>
          <w:kern w:val="0"/>
          <w:szCs w:val="21"/>
        </w:rPr>
        <w:t xml:space="preserve">    </w:t>
      </w:r>
      <w:r>
        <w:rPr>
          <w:rFonts w:hint="eastAsia" w:ascii="仿宋_GB2312" w:hAnsi="仿宋_GB2312" w:eastAsia="仿宋_GB2312" w:cs="仿宋_GB2312"/>
          <w:kern w:val="0"/>
          <w:szCs w:val="21"/>
          <w:lang w:val="en-US" w:eastAsia="zh-CN"/>
        </w:rPr>
        <w:t>2025</w:t>
      </w:r>
      <w:r>
        <w:rPr>
          <w:rFonts w:hint="eastAsia" w:ascii="仿宋_GB2312" w:hAnsi="仿宋_GB2312" w:eastAsia="仿宋_GB2312" w:cs="仿宋_GB2312"/>
          <w:kern w:val="0"/>
          <w:szCs w:val="21"/>
        </w:rPr>
        <w:t xml:space="preserve"> 年 </w:t>
      </w:r>
      <w:r>
        <w:rPr>
          <w:rFonts w:hint="eastAsia" w:ascii="仿宋_GB2312" w:hAnsi="仿宋_GB2312" w:eastAsia="仿宋_GB2312" w:cs="仿宋_GB2312"/>
          <w:kern w:val="0"/>
          <w:szCs w:val="21"/>
          <w:lang w:val="en-US" w:eastAsia="zh-CN"/>
        </w:rPr>
        <w:t>12</w:t>
      </w:r>
      <w:r>
        <w:rPr>
          <w:rFonts w:hint="eastAsia" w:ascii="仿宋_GB2312" w:hAnsi="仿宋_GB2312" w:eastAsia="仿宋_GB2312" w:cs="仿宋_GB2312"/>
          <w:kern w:val="0"/>
          <w:szCs w:val="21"/>
        </w:rPr>
        <w:t xml:space="preserve">  月  </w:t>
      </w:r>
      <w:r>
        <w:rPr>
          <w:rFonts w:hint="eastAsia" w:ascii="仿宋_GB2312" w:hAnsi="仿宋_GB2312" w:eastAsia="仿宋_GB2312" w:cs="仿宋_GB2312"/>
          <w:kern w:val="0"/>
          <w:szCs w:val="21"/>
          <w:lang w:val="en-US" w:eastAsia="zh-CN"/>
        </w:rPr>
        <w:t>08</w:t>
      </w:r>
      <w:r>
        <w:rPr>
          <w:rFonts w:hint="eastAsia" w:ascii="仿宋_GB2312" w:hAnsi="仿宋_GB2312" w:eastAsia="仿宋_GB2312" w:cs="仿宋_GB2312"/>
          <w:kern w:val="0"/>
          <w:szCs w:val="21"/>
        </w:rPr>
        <w:t xml:space="preserve">   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E8EEF5"/>
    <w:multiLevelType w:val="singleLevel"/>
    <w:tmpl w:val="80E8EEF5"/>
    <w:lvl w:ilvl="0" w:tentative="0">
      <w:start w:val="1"/>
      <w:numFmt w:val="chineseCounting"/>
      <w:suff w:val="nothing"/>
      <w:lvlText w:val="%1、"/>
      <w:lvlJc w:val="left"/>
      <w:pPr>
        <w:ind w:left="0" w:firstLine="420"/>
      </w:pPr>
      <w:rPr>
        <w:rFonts w:hint="eastAsia"/>
      </w:rPr>
    </w:lvl>
  </w:abstractNum>
  <w:abstractNum w:abstractNumId="1">
    <w:nsid w:val="ADDA6C2F"/>
    <w:multiLevelType w:val="singleLevel"/>
    <w:tmpl w:val="ADDA6C2F"/>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7C04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2025-12-08T01:30:31Z</dcterms:created>
  <dc:creator>lenovo</dc:creator>
  <cp:lastModifiedBy>黄惠东</cp:lastModifiedBy>
  <dcterms:modified xsi:type="dcterms:W3CDTF">2025-12-08T01:31:06Z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eyJoZGlkIjoiMDVhNGUzYzIxMzZiNGUwYjk4M2NhYzM1YTAzMjk5NTIiLCJ1c2VySWQiOiIxNTgyODExNDczIn0=</vt:lpwstr>
  </property>
  <property fmtid="{D5CDD505-2E9C-101B-9397-08002B2CF9AE}" pid="4" name="ICV">
    <vt:lpwstr>38980FA15CCE4D8BBB37A68305E3378F_12</vt:lpwstr>
  </property>
</Properties>
</file>